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7.0 -->
  <w:body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KINCO BID MANUAL</w:t>
      </w:r>
    </w:p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Section 3: Scope of Work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caps/>
          <w:sz w:val="28"/>
          <w:szCs w:val="28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Bid Package 07- Glass and Glazing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Your signature on this page is a confirmation of your bid and an acknowledgement and acceptance of the requirements of the Kinco Bid Manual, project schedule and all Addendums and CM Clarifications.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8240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Company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AR State Contractor’s License #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9264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Title</w:t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</w:pPr>
      <w:r>
        <w:rPr>
          <w:strike w:val="0"/>
          <w:u w:val="none"/>
        </w:rPr>
        <w:drawing>
          <wp:anchor simplePos="0" relativeHeight="251660288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Address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1312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State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Zip Code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2336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Phone Number w/ Area Code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Email Address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tabs>
          <w:tab w:val="left" w:pos="5400"/>
        </w:tabs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p>
      <w:pPr>
        <w:spacing w:before="0" w:after="0" w:line="240" w:lineRule="auto"/>
      </w:pPr>
      <w:r>
        <w:rPr>
          <w:b/>
          <w:bCs/>
        </w:rPr>
        <w:t>Specification:</w:t>
      </w:r>
    </w:p>
    <w:p>
      <w:pPr>
        <w:spacing w:before="0" w:after="0" w:line="240" w:lineRule="auto"/>
      </w:pPr>
      <w:r>
        <w:t>Bidders will include work from referenced specifications and other work normally associated with this trade whether referenced or not.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t xml:space="preserve"> </w:t>
      </w:r>
    </w:p>
    <w:p>
      <w:pPr>
        <w:spacing w:before="0" w:after="0" w:line="240" w:lineRule="auto"/>
      </w:pPr>
      <w:r>
        <w:rPr>
          <w:b/>
          <w:bCs/>
        </w:rPr>
        <w:t>Scope of Work:</w:t>
      </w:r>
    </w:p>
    <w:p>
      <w:pPr>
        <w:spacing w:before="0" w:after="0" w:line="240" w:lineRule="auto"/>
      </w:pPr>
      <w:r>
        <w:t>The bid package shall also include the following items but shall not limit more stringent requirements found elsewhere in the contract documents unless specifically listed as exclusion below.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1"/>
        </w:numPr>
        <w:pBdr>
          <w:left w:val="none" w:sz="0" w:space="4" w:color="auto"/>
        </w:pBdr>
        <w:spacing w:before="0"/>
        <w:ind w:left="1080" w:right="0" w:hanging="360"/>
        <w:jc w:val="left"/>
      </w:pPr>
      <w:r>
        <w:t>Layout from Kinco Control Points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Glass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Aluminum Frames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Caulking of Frames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Initial cleaning of Glass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Sales Tax</w:t>
      </w:r>
    </w:p>
    <w:p>
      <w:pPr>
        <w:numPr>
          <w:ilvl w:val="0"/>
          <w:numId w:val="1"/>
        </w:numPr>
        <w:pBdr>
          <w:left w:val="none" w:sz="0" w:space="4" w:color="auto"/>
        </w:pBdr>
        <w:spacing w:after="200"/>
        <w:ind w:left="1080" w:right="0" w:hanging="360"/>
        <w:jc w:val="left"/>
      </w:pPr>
      <w:r>
        <w:t>Hoisting of all materials under this scope of work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023"/>
        <w:gridCol w:w="3265"/>
      </w:tblGrid>
      <w:tr>
        <w:tblPrEx>
          <w:tblW w:w="92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1"/>
        </w:trPr>
        <w:tc>
          <w:tcPr>
            <w:tcW w:w="602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BASE BID to provide labor and furnish and install materials as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required by this bid package and listed specifications.</w:t>
            </w:r>
          </w:p>
        </w:tc>
        <w:tc>
          <w:tcPr>
            <w:tcW w:w="326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602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BOND COST to furnish a Payment and Performance Bond for this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project. </w:t>
            </w:r>
          </w:p>
        </w:tc>
        <w:tc>
          <w:tcPr>
            <w:tcW w:w="326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$</w:t>
            </w:r>
          </w:p>
          <w:p>
            <w:pPr>
              <w:spacing w:before="0" w:after="20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  <w:p>
            <w:pPr>
              <w:spacing w:before="0" w:after="200"/>
              <w:ind w:firstLine="72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602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TOTAL BID AMOUNT – BASE BID AND BOND COST</w:t>
            </w:r>
          </w:p>
        </w:tc>
        <w:tc>
          <w:tcPr>
            <w:tcW w:w="326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</w:tbl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addenda: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2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3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4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CM Clarifications: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numPr>
          <w:ilvl w:val="0"/>
          <w:numId w:val="5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6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7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sectPr>
      <w:headerReference w:type="default" r:id="rId5"/>
      <w:footerReference w:type="default" r:id="rId6"/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240" w:lineRule="auto"/>
      <w:rPr>
        <w:rFonts w:ascii="Calibri" w:eastAsia="Calibri" w:hAnsi="Calibri" w:cs="Calibri"/>
        <w:sz w:val="22"/>
        <w:szCs w:val="22"/>
      </w:rPr>
    </w:pPr>
    <w:sdt>
      <w:sdtPr>
        <w:id w:val="309807404"/>
        <w:placeholder>
          <w:docPart w:val="DefaultPlaceholder_22675703"/>
        </w:placeholder>
        <w:text/>
      </w:sdtPr>
      <w:sdtContent>
        <w:r>
          <w:rPr>
            <w:caps/>
          </w:rPr>
          <w:t xml:space="preserve">Page | </w:t>
        </w:r>
        <w:r>
          <w:rPr>
            <w:caps/>
          </w:rPr>
          <w:fldChar w:fldCharType="begin"/>
        </w:r>
        <w:r>
          <w:rPr>
            <w:caps/>
          </w:rPr>
          <w:instrText xml:space="preserve"> PAGE   \* MERGEFORMAT </w:instrText>
        </w:r>
        <w:r>
          <w:rPr>
            <w:caps/>
          </w:rPr>
          <w:fldChar w:fldCharType="separate"/>
        </w:r>
        <w:r>
          <w:t>2</w:t>
        </w:r>
        <w:r>
          <w:fldChar w:fldCharType="end"/>
        </w:r>
        <w:r>
          <w:t xml:space="preserve"> </w:t>
        </w:r>
      </w:sdtContent>
    </w:sdt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caps/>
      </w:rPr>
      <w:t>Section 3: bID pACKAGE 08-71-00 Glass and glazing</w:t>
    </w:r>
  </w:p>
  <w:p>
    <w:pPr>
      <w:spacing w:before="0" w:after="200"/>
      <w:rPr>
        <w:rFonts w:ascii="Calibri" w:eastAsia="Calibri" w:hAnsi="Calibri" w:cs="Calibri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26" w:type="dxa"/>
      <w:tblCellMar>
        <w:top w:w="0" w:type="dxa"/>
        <w:left w:w="0" w:type="dxa"/>
        <w:bottom w:w="0" w:type="dxa"/>
        <w:right w:w="0" w:type="dxa"/>
      </w:tblCellMar>
    </w:tblPr>
    <w:tblGrid>
      <w:gridCol w:w="8468"/>
      <w:gridCol w:w="275"/>
      <w:gridCol w:w="1283"/>
    </w:tblGrid>
    <w:tr>
      <w:tblPrEx>
        <w:tblW w:w="10026" w:type="dxa"/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488" w:type="dxa"/>
          <w:noWrap w:val="0"/>
          <w:tcMar>
            <w:top w:w="0" w:type="dxa"/>
            <w:left w:w="113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jc w:val="right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smallCaps w:val="0"/>
              <w:strike w:val="0"/>
              <w:color w:val="000000"/>
              <w:u w:val="none"/>
            </w:rPr>
            <w:drawing>
              <wp:anchor simplePos="0" relativeHeight="251658240" behindDoc="1" locked="0" layoutInCell="1" allowOverlap="1">
                <wp:simplePos x="0" y="0"/>
                <wp:positionH relativeFrom="column">
                  <wp:posOffset>17526</wp:posOffset>
                </wp:positionH>
                <wp:positionV relativeFrom="paragraph">
                  <wp:posOffset>9525</wp:posOffset>
                </wp:positionV>
                <wp:extent cx="323850" cy="323850"/>
                <wp:wrapNone/>
                <wp:docPr id="10000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Huntsville Practice facility</w:t>
          </w:r>
        </w:p>
      </w:tc>
      <w:tc>
        <w:tcPr>
          <w:tcW w:w="275" w:type="dxa"/>
          <w:tcBorders>
            <w:right w:val="single" w:sz="4" w:space="0" w:color="000000"/>
          </w:tcBorders>
          <w:noWrap w:val="0"/>
          <w:tcMar>
            <w:top w:w="0" w:type="dxa"/>
            <w:left w:w="113" w:type="dxa"/>
            <w:bottom w:w="0" w:type="dxa"/>
            <w:right w:w="108" w:type="dxa"/>
          </w:tcMar>
          <w:vAlign w:val="top"/>
        </w:tcPr>
        <w:p>
          <w:pPr>
            <w:spacing w:before="0" w:after="0" w:line="240" w:lineRule="auto"/>
            <w:jc w:val="right"/>
            <w:rPr>
              <w:rFonts w:ascii="Calibri" w:eastAsia="Calibri" w:hAnsi="Calibri" w:cs="Calibri"/>
              <w:b w:val="0"/>
              <w:bCs w:val="0"/>
              <w:i w:val="0"/>
              <w:iCs w:val="0"/>
              <w:caps/>
              <w:smallCaps w:val="0"/>
              <w:color w:val="000000"/>
              <w:sz w:val="24"/>
              <w:szCs w:val="24"/>
            </w:rPr>
          </w:pPr>
        </w:p>
      </w:tc>
      <w:tc>
        <w:tcPr>
          <w:tcW w:w="1283" w:type="dxa"/>
          <w:tcBorders>
            <w:left w:val="single" w:sz="4" w:space="0" w:color="000000"/>
          </w:tcBorders>
          <w:noWrap w:val="0"/>
          <w:tcMar>
            <w:top w:w="0" w:type="dxa"/>
            <w:left w:w="108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12/30/2024</w:t>
          </w:r>
        </w:p>
      </w:tc>
    </w:tr>
  </w:tbl>
  <w:p>
    <w:pPr>
      <w:spacing w:before="0" w:after="0" w:line="240" w:lineRule="auto"/>
      <w:rPr>
        <w:rFonts w:ascii="Calibri" w:eastAsia="Calibri" w:hAnsi="Calibri" w:cs="Calibri"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54CB-40A6-4B12-B0CA-25D55B5CC04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